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22"/>
        <w:ind w:right="122"/>
      </w:pPr>
      <w:r>
        <w:rPr/>
        <w:t>To</w:t>
      </w:r>
      <w:r>
        <w:rPr>
          <w:spacing w:val="-10"/>
        </w:rPr>
        <w:t> </w:t>
      </w:r>
      <w:r>
        <w:rPr/>
        <w:t>secure</w:t>
      </w:r>
      <w:r>
        <w:rPr>
          <w:spacing w:val="-4"/>
        </w:rPr>
        <w:t> </w:t>
      </w:r>
      <w:r>
        <w:rPr/>
        <w:t>patient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data</w:t>
      </w:r>
      <w:r>
        <w:rPr>
          <w:spacing w:val="-8"/>
        </w:rPr>
        <w:t> </w:t>
      </w:r>
      <w:r>
        <w:rPr/>
        <w:t>within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ASPISMED</w:t>
      </w:r>
      <w:r>
        <w:rPr>
          <w:spacing w:val="-7"/>
        </w:rPr>
        <w:t> </w:t>
      </w:r>
      <w:r>
        <w:rPr/>
        <w:t>architecture,</w:t>
      </w:r>
      <w:r>
        <w:rPr>
          <w:spacing w:val="-10"/>
        </w:rPr>
        <w:t> </w:t>
      </w:r>
      <w:r>
        <w:rPr/>
        <w:t>we</w:t>
      </w:r>
      <w:r>
        <w:rPr>
          <w:spacing w:val="-7"/>
        </w:rPr>
        <w:t> </w:t>
      </w:r>
      <w:r>
        <w:rPr/>
        <w:t>implement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defense-in-depth privacy and security framework. All Personally Identifiable Information (PII) is cryptographically tokenized and pseudonymized at the source before leaving the client environment. Data ingestion is processed through a multi-layer de-identification pipeline designed to minimize residual re-identification risk.</w:t>
      </w:r>
    </w:p>
    <w:p>
      <w:pPr>
        <w:pStyle w:val="BodyText"/>
        <w:spacing w:line="278" w:lineRule="auto" w:before="159"/>
        <w:ind w:right="271"/>
      </w:pPr>
      <w:r>
        <w:rPr/>
        <w:t>For</w:t>
      </w:r>
      <w:r>
        <w:rPr>
          <w:spacing w:val="-12"/>
        </w:rPr>
        <w:t> </w:t>
      </w:r>
      <w:r>
        <w:rPr/>
        <w:t>analytics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AI</w:t>
      </w:r>
      <w:r>
        <w:rPr>
          <w:spacing w:val="-9"/>
        </w:rPr>
        <w:t> </w:t>
      </w:r>
      <w:r>
        <w:rPr/>
        <w:t>processing,</w:t>
      </w:r>
      <w:r>
        <w:rPr>
          <w:spacing w:val="-12"/>
        </w:rPr>
        <w:t> </w:t>
      </w:r>
      <w:r>
        <w:rPr/>
        <w:t>privacy-preserving</w:t>
      </w:r>
      <w:r>
        <w:rPr>
          <w:spacing w:val="-9"/>
        </w:rPr>
        <w:t> </w:t>
      </w:r>
      <w:r>
        <w:rPr/>
        <w:t>computation</w:t>
      </w:r>
      <w:r>
        <w:rPr>
          <w:spacing w:val="-11"/>
        </w:rPr>
        <w:t> </w:t>
      </w:r>
      <w:r>
        <w:rPr/>
        <w:t>techniques</w:t>
      </w:r>
      <w:r>
        <w:rPr>
          <w:spacing w:val="-9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identity-sensitive records from analytical workflows. Clinician and operational activity patterns are further</w:t>
      </w:r>
      <w:r>
        <w:rPr>
          <w:spacing w:val="-3"/>
        </w:rPr>
        <w:t> </w:t>
      </w:r>
      <w:r>
        <w:rPr/>
        <w:t>protected</w:t>
      </w:r>
      <w:r>
        <w:rPr>
          <w:spacing w:val="-2"/>
        </w:rPr>
        <w:t> </w:t>
      </w:r>
      <w:r>
        <w:rPr/>
        <w:t>through</w:t>
      </w:r>
      <w:r>
        <w:rPr>
          <w:spacing w:val="-6"/>
        </w:rPr>
        <w:t> </w:t>
      </w:r>
      <w:r>
        <w:rPr/>
        <w:t>workflow masking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controlled</w:t>
      </w:r>
      <w:r>
        <w:rPr>
          <w:spacing w:val="-6"/>
        </w:rPr>
        <w:t> </w:t>
      </w:r>
      <w:r>
        <w:rPr/>
        <w:t>access</w:t>
      </w:r>
      <w:r>
        <w:rPr>
          <w:spacing w:val="-4"/>
        </w:rPr>
        <w:t> </w:t>
      </w:r>
      <w:r>
        <w:rPr/>
        <w:t>mechanisms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safeguard provider-sensitive intelligence.</w:t>
      </w:r>
    </w:p>
    <w:p>
      <w:pPr>
        <w:pStyle w:val="BodyText"/>
        <w:spacing w:line="278" w:lineRule="auto" w:before="158"/>
      </w:pPr>
      <w:r>
        <w:rPr/>
        <w:t>All</w:t>
      </w:r>
      <w:r>
        <w:rPr>
          <w:spacing w:val="-11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operational</w:t>
      </w:r>
      <w:r>
        <w:rPr>
          <w:spacing w:val="-7"/>
        </w:rPr>
        <w:t> </w:t>
      </w:r>
      <w:r>
        <w:rPr/>
        <w:t>access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governed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strict</w:t>
      </w:r>
      <w:r>
        <w:rPr>
          <w:spacing w:val="-8"/>
        </w:rPr>
        <w:t> </w:t>
      </w:r>
      <w:r>
        <w:rPr/>
        <w:t>Role-Based</w:t>
      </w:r>
      <w:r>
        <w:rPr>
          <w:spacing w:val="-10"/>
        </w:rPr>
        <w:t> </w:t>
      </w:r>
      <w:r>
        <w:rPr/>
        <w:t>Access</w:t>
      </w:r>
      <w:r>
        <w:rPr>
          <w:spacing w:val="-8"/>
        </w:rPr>
        <w:t> </w:t>
      </w:r>
      <w:r>
        <w:rPr/>
        <w:t>Control (RBAC) policies limited to authorized personnel. System activity is continuously recorded through a cryptographically verifiable, append-only audit trail to ensure transparency and</w:t>
      </w:r>
    </w:p>
    <w:p>
      <w:pPr>
        <w:pStyle w:val="BodyText"/>
        <w:spacing w:line="292" w:lineRule="exact"/>
      </w:pPr>
      <w:r>
        <w:rPr>
          <w:spacing w:val="-2"/>
        </w:rPr>
        <w:t>accountability.</w:t>
      </w:r>
    </w:p>
    <w:p>
      <w:pPr>
        <w:pStyle w:val="BodyText"/>
        <w:spacing w:line="278" w:lineRule="auto" w:before="206"/>
        <w:ind w:right="319"/>
      </w:pPr>
      <w:r>
        <w:rPr/>
        <w:t>The storage architecture enforces regional data residency requirements alongside granular, patient-controlled</w:t>
      </w:r>
      <w:r>
        <w:rPr>
          <w:spacing w:val="-9"/>
        </w:rPr>
        <w:t> </w:t>
      </w:r>
      <w:r>
        <w:rPr/>
        <w:t>consent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permission</w:t>
      </w:r>
      <w:r>
        <w:rPr>
          <w:spacing w:val="-10"/>
        </w:rPr>
        <w:t> </w:t>
      </w:r>
      <w:r>
        <w:rPr/>
        <w:t>management.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framework</w:t>
      </w:r>
      <w:r>
        <w:rPr>
          <w:spacing w:val="-12"/>
        </w:rPr>
        <w:t> </w:t>
      </w:r>
      <w:r>
        <w:rPr/>
        <w:t>supports</w:t>
      </w:r>
      <w:r>
        <w:rPr>
          <w:spacing w:val="-11"/>
        </w:rPr>
        <w:t> </w:t>
      </w:r>
      <w:r>
        <w:rPr/>
        <w:t>alignment with major global compliance standards, including GDPR and HIPAA.</w:t>
      </w:r>
    </w:p>
    <w:p>
      <w:pPr>
        <w:pStyle w:val="BodyText"/>
        <w:spacing w:line="278" w:lineRule="auto" w:before="162"/>
        <w:ind w:right="122"/>
      </w:pPr>
      <w:r>
        <w:rPr/>
        <w:t>As a result, ASPISMED enables the generation of secure, privacy-preserving, risk-reduced aggregated</w:t>
      </w:r>
      <w:r>
        <w:rPr>
          <w:spacing w:val="-12"/>
        </w:rPr>
        <w:t> </w:t>
      </w:r>
      <w:r>
        <w:rPr/>
        <w:t>datasets</w:t>
      </w:r>
      <w:r>
        <w:rPr>
          <w:spacing w:val="-9"/>
        </w:rPr>
        <w:t> </w:t>
      </w:r>
      <w:r>
        <w:rPr/>
        <w:t>suitable</w:t>
      </w:r>
      <w:r>
        <w:rPr>
          <w:spacing w:val="-10"/>
        </w:rPr>
        <w:t> </w:t>
      </w:r>
      <w:r>
        <w:rPr/>
        <w:t>for</w:t>
      </w:r>
      <w:r>
        <w:rPr>
          <w:spacing w:val="-13"/>
        </w:rPr>
        <w:t> </w:t>
      </w:r>
      <w:r>
        <w:rPr/>
        <w:t>compliant</w:t>
      </w:r>
      <w:r>
        <w:rPr>
          <w:spacing w:val="-10"/>
        </w:rPr>
        <w:t> </w:t>
      </w:r>
      <w:r>
        <w:rPr/>
        <w:t>pharmaceutical</w:t>
      </w:r>
      <w:r>
        <w:rPr>
          <w:spacing w:val="-13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advanced</w:t>
      </w:r>
      <w:r>
        <w:rPr>
          <w:spacing w:val="-8"/>
        </w:rPr>
        <w:t> </w:t>
      </w:r>
      <w:r>
        <w:rPr/>
        <w:t>clinical </w:t>
      </w:r>
      <w:r>
        <w:rPr>
          <w:spacing w:val="-2"/>
        </w:rPr>
        <w:t>analytics.</w:t>
      </w:r>
    </w:p>
    <w:sectPr>
      <w:type w:val="continuous"/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polys</dc:creator>
  <dcterms:created xsi:type="dcterms:W3CDTF">2026-06-07T16:49:31Z</dcterms:created>
  <dcterms:modified xsi:type="dcterms:W3CDTF">2026-06-07T16:49:31Z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2026-06-07T00:00:00Z</vt:filetime>
  </property>
  <property fmtid="{D5CDD505-2E9C-101B-9397-08002B2CF9AE}" pid="6" name="Producer">
    <vt:lpwstr>www.ilovepdf.com</vt:lpwstr>
  </property>
</Properties>
</file>